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proofErr w:type="spellStart"/>
            <w:r>
              <w:rPr>
                <w:rFonts w:ascii="Arial" w:hAnsi="Arial"/>
                <w:b/>
                <w:sz w:val="20"/>
              </w:rPr>
              <w:t>Safety</w:t>
            </w:r>
            <w:proofErr w:type="spellEnd"/>
            <w:r>
              <w:rPr>
                <w:rFonts w:ascii="Arial" w:hAnsi="Arial"/>
                <w:b/>
                <w:sz w:val="20"/>
              </w:rPr>
              <w:t xml:space="preserve">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Pr>
                <w:rFonts w:ascii="Arial" w:hAnsi="Arial"/>
                <w:sz w:val="20"/>
              </w:rPr>
              <w:t>Numéro de décision :</w:t>
            </w:r>
          </w:p>
        </w:tc>
        <w:tc>
          <w:tcPr>
            <w:tcW w:w="2552" w:type="dxa"/>
            <w:tcMar>
              <w:top w:w="113" w:type="dxa"/>
            </w:tcMar>
          </w:tcPr>
          <w:p w14:paraId="46A76B38" w14:textId="2EF27F67" w:rsidR="00872908" w:rsidRPr="00047508" w:rsidRDefault="00872908" w:rsidP="00872908">
            <w:pPr>
              <w:rPr>
                <w:rFonts w:ascii="Arial" w:hAnsi="Arial" w:cs="Arial"/>
                <w:sz w:val="20"/>
                <w:szCs w:val="20"/>
              </w:rPr>
            </w:pPr>
            <w:r>
              <w:rPr>
                <w:rFonts w:ascii="Arial" w:hAnsi="Arial"/>
                <w:sz w:val="20"/>
              </w:rPr>
              <w:t>2024-03</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Pr>
                <w:rFonts w:ascii="Arial" w:hAnsi="Arial"/>
                <w:sz w:val="20"/>
              </w:rPr>
              <w:t>Objet :</w:t>
            </w:r>
          </w:p>
        </w:tc>
        <w:tc>
          <w:tcPr>
            <w:tcW w:w="6999" w:type="dxa"/>
            <w:gridSpan w:val="3"/>
            <w:tcMar>
              <w:top w:w="113" w:type="dxa"/>
            </w:tcMar>
          </w:tcPr>
          <w:p w14:paraId="787B98A8" w14:textId="1D747220" w:rsidR="00872908" w:rsidRPr="00047508" w:rsidRDefault="00E45310" w:rsidP="00872908">
            <w:pPr>
              <w:rPr>
                <w:rFonts w:ascii="Arial" w:hAnsi="Arial" w:cs="Arial"/>
                <w:sz w:val="20"/>
                <w:szCs w:val="20"/>
              </w:rPr>
            </w:pPr>
            <w:r>
              <w:rPr>
                <w:rFonts w:ascii="Arial" w:hAnsi="Arial"/>
                <w:sz w:val="20"/>
              </w:rPr>
              <w:t>proposition de modification de la terminologie des phases 1 et 2 de l'audit SCL</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Pr>
                <w:rFonts w:ascii="Arial" w:hAnsi="Arial"/>
                <w:sz w:val="20"/>
              </w:rPr>
              <w:t>Date :</w:t>
            </w:r>
          </w:p>
        </w:tc>
        <w:tc>
          <w:tcPr>
            <w:tcW w:w="2552" w:type="dxa"/>
            <w:tcBorders>
              <w:bottom w:val="single" w:sz="4" w:space="0" w:color="auto"/>
            </w:tcBorders>
            <w:tcMar>
              <w:top w:w="113" w:type="dxa"/>
            </w:tcMar>
          </w:tcPr>
          <w:p w14:paraId="6F183283" w14:textId="0FCF544A" w:rsidR="00872908" w:rsidRPr="00047508" w:rsidRDefault="00872908" w:rsidP="00872908">
            <w:pPr>
              <w:rPr>
                <w:rFonts w:ascii="Arial" w:hAnsi="Arial" w:cs="Arial"/>
                <w:sz w:val="20"/>
                <w:szCs w:val="20"/>
              </w:rPr>
            </w:pPr>
            <w:r>
              <w:rPr>
                <w:rFonts w:ascii="Arial" w:hAnsi="Arial"/>
                <w:sz w:val="20"/>
              </w:rPr>
              <w:t>29-11-2024</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Pr>
                <w:rFonts w:ascii="Arial" w:hAnsi="Arial"/>
                <w:sz w:val="20"/>
              </w:rPr>
              <w:t>Mise en œuvre :</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074DB780" w:rsidR="00872908" w:rsidRPr="00047508" w:rsidRDefault="00872908" w:rsidP="0026493F">
            <w:pPr>
              <w:ind w:right="-150"/>
              <w:rPr>
                <w:rFonts w:ascii="Arial" w:hAnsi="Arial" w:cs="Arial"/>
                <w:sz w:val="20"/>
                <w:szCs w:val="20"/>
              </w:rPr>
            </w:pPr>
            <w:r>
              <w:rPr>
                <w:rFonts w:ascii="Arial" w:hAnsi="Arial"/>
                <w:sz w:val="20"/>
              </w:rPr>
              <w:t>publication sur le site web, dans la norme et le schéma de certification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Pr>
                <w:rFonts w:ascii="Arial" w:hAnsi="Arial"/>
                <w:sz w:val="20"/>
              </w:rPr>
              <w:t>Date d’entrée en vigueur :</w:t>
            </w:r>
          </w:p>
        </w:tc>
        <w:tc>
          <w:tcPr>
            <w:tcW w:w="2009" w:type="dxa"/>
            <w:tcBorders>
              <w:top w:val="single" w:sz="4" w:space="0" w:color="auto"/>
              <w:bottom w:val="single" w:sz="4" w:space="0" w:color="auto"/>
            </w:tcBorders>
            <w:tcMar>
              <w:top w:w="113" w:type="dxa"/>
            </w:tcMar>
            <w:vAlign w:val="center"/>
          </w:tcPr>
          <w:p w14:paraId="51BADF53" w14:textId="174AF35E" w:rsidR="00872908" w:rsidRPr="00047508" w:rsidRDefault="00D216A6" w:rsidP="00872908">
            <w:pPr>
              <w:rPr>
                <w:rFonts w:ascii="Arial" w:hAnsi="Arial" w:cs="Arial"/>
                <w:sz w:val="20"/>
                <w:szCs w:val="20"/>
              </w:rPr>
            </w:pPr>
            <w:r>
              <w:rPr>
                <w:rFonts w:ascii="Arial" w:hAnsi="Arial"/>
                <w:sz w:val="20"/>
              </w:rPr>
              <w:t xml:space="preserve">immédiatement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Pr>
          <w:color w:val="009691"/>
        </w:rPr>
        <w:t>Contexte ;</w:t>
      </w:r>
    </w:p>
    <w:p w14:paraId="4129E6A1" w14:textId="77777777" w:rsidR="00EA25CA" w:rsidRDefault="007E3358" w:rsidP="007E3358">
      <w:pPr>
        <w:spacing w:after="0"/>
      </w:pPr>
      <w:r>
        <w:t>Dans le schéma de certification pour la SCL, le point H 7.3 décrit les exigences auxquelles doit satisfaire une évaluation de la SCL.</w:t>
      </w:r>
    </w:p>
    <w:p w14:paraId="630671AA" w14:textId="691C4179" w:rsidR="00853C6E" w:rsidRDefault="008D4EAE" w:rsidP="00853C6E">
      <w:pPr>
        <w:spacing w:after="0"/>
      </w:pPr>
      <w:r>
        <w:t>Dans ce chapitre, le point 7.3.3 - Examen de phase 1 et de phase 2 - décrit les exigences que l'examen doit comprendre au cours de ces phases.</w:t>
      </w:r>
    </w:p>
    <w:p w14:paraId="03CA5905" w14:textId="0DF48B01" w:rsidR="003E4D5C" w:rsidRPr="008D381B" w:rsidRDefault="008D381B" w:rsidP="00853C6E">
      <w:pPr>
        <w:spacing w:after="0"/>
        <w:rPr>
          <w:i/>
          <w:iCs/>
        </w:rPr>
      </w:pPr>
      <w:r>
        <w:rPr>
          <w:i/>
        </w:rPr>
        <w:t>« 7.3.3.1 Phase 1</w:t>
      </w:r>
    </w:p>
    <w:p w14:paraId="11FAEFEF" w14:textId="77777777" w:rsidR="007E3358" w:rsidRPr="008D381B" w:rsidRDefault="007E3358" w:rsidP="007E3358">
      <w:pPr>
        <w:spacing w:after="0"/>
        <w:rPr>
          <w:i/>
          <w:iCs/>
        </w:rPr>
      </w:pPr>
      <w:r>
        <w:rPr>
          <w:i/>
        </w:rPr>
        <w:t xml:space="preserve">Un audit SCL comprend une phase 1 et une phase 2. L’objectif de l’examen de phase 1 est </w:t>
      </w:r>
    </w:p>
    <w:p w14:paraId="3031F2FC" w14:textId="62D35E1E" w:rsidR="003E4D5C" w:rsidRPr="008D381B" w:rsidRDefault="007E3358" w:rsidP="007E3358">
      <w:pPr>
        <w:spacing w:after="0"/>
        <w:rPr>
          <w:i/>
          <w:iCs/>
        </w:rPr>
      </w:pPr>
      <w:r>
        <w:rPr>
          <w:i/>
        </w:rPr>
        <w:t>principalement de vérifier/d’établir les éléments suivants :</w:t>
      </w:r>
    </w:p>
    <w:p w14:paraId="09493EC4" w14:textId="77777777" w:rsidR="008D381B" w:rsidRPr="008D381B" w:rsidRDefault="008D381B" w:rsidP="00E43FF6">
      <w:pPr>
        <w:spacing w:after="0"/>
        <w:rPr>
          <w:i/>
          <w:iCs/>
        </w:rPr>
      </w:pPr>
    </w:p>
    <w:p w14:paraId="40A5C111" w14:textId="74BCC7C8" w:rsidR="003E4D5C" w:rsidRPr="008D381B" w:rsidRDefault="001C0B90" w:rsidP="00E43FF6">
      <w:pPr>
        <w:spacing w:after="0"/>
        <w:rPr>
          <w:i/>
          <w:iCs/>
        </w:rPr>
      </w:pPr>
      <w:r>
        <w:rPr>
          <w:i/>
        </w:rPr>
        <w:t>7.3.3.2 Phase 2</w:t>
      </w:r>
    </w:p>
    <w:p w14:paraId="62C098C0" w14:textId="77777777" w:rsidR="00F64EB5" w:rsidRPr="008D381B" w:rsidRDefault="00F64EB5" w:rsidP="00F64EB5">
      <w:pPr>
        <w:spacing w:after="0"/>
        <w:rPr>
          <w:i/>
          <w:iCs/>
        </w:rPr>
      </w:pPr>
      <w:r>
        <w:rPr>
          <w:i/>
        </w:rPr>
        <w:t xml:space="preserve">La phase 2 concerne l’examen de certification de la perception de la sécurité et de la santé dans la pratique et </w:t>
      </w:r>
    </w:p>
    <w:p w14:paraId="56D8BFBD" w14:textId="6DD153B4" w:rsidR="003E4D5C" w:rsidRPr="008D381B" w:rsidRDefault="00F64EB5" w:rsidP="00F64EB5">
      <w:pPr>
        <w:spacing w:after="0"/>
        <w:rPr>
          <w:i/>
          <w:iCs/>
        </w:rPr>
      </w:pPr>
      <w:r>
        <w:rPr>
          <w:i/>
        </w:rPr>
        <w:t>l’évaluation des cinq thèmes. »</w:t>
      </w:r>
    </w:p>
    <w:p w14:paraId="5241E3EF" w14:textId="77777777" w:rsidR="0030371F" w:rsidRDefault="0030371F" w:rsidP="00B11739">
      <w:pPr>
        <w:spacing w:after="0"/>
      </w:pPr>
    </w:p>
    <w:p w14:paraId="6F4A4993" w14:textId="06ED221A" w:rsidR="00B11739" w:rsidRPr="007F4010" w:rsidRDefault="00B11739" w:rsidP="00B11739">
      <w:pPr>
        <w:spacing w:after="0"/>
        <w:rPr>
          <w:color w:val="009691"/>
        </w:rPr>
      </w:pPr>
      <w:r>
        <w:rPr>
          <w:color w:val="009691"/>
        </w:rPr>
        <w:t>Prise en considération ;</w:t>
      </w:r>
    </w:p>
    <w:p w14:paraId="018C7EBC" w14:textId="77777777" w:rsidR="00D02503" w:rsidRDefault="0030371F" w:rsidP="00AC2118">
      <w:pPr>
        <w:spacing w:after="0"/>
      </w:pPr>
      <w:r>
        <w:t>Les termes Phase 1 et Phase 2 sont utilisés dans les audits ISO 17021 pour l'évaluation des systèmes de management. En utilisant également ces désignations dans les audits SCL, les auditeurs sont induits en erreur et pensent souvent à tort que toutes sortes de documents doivent être demandés.</w:t>
      </w:r>
    </w:p>
    <w:p w14:paraId="35425ED3" w14:textId="74584B35" w:rsidR="009C48A1" w:rsidRDefault="00D02503" w:rsidP="00AC2118">
      <w:pPr>
        <w:spacing w:after="0"/>
      </w:pPr>
      <w:r>
        <w:t xml:space="preserve">La Consultation d'harmonisation des OC a donc demandé que les désignations soient modifiées en « Préparation de l'audit SCL » et « Réalisation de l'audit SCL ». </w:t>
      </w:r>
    </w:p>
    <w:p w14:paraId="00A3E33E" w14:textId="77777777" w:rsidR="000D0410" w:rsidRDefault="000D0410" w:rsidP="00091459">
      <w:pPr>
        <w:spacing w:after="0"/>
      </w:pPr>
    </w:p>
    <w:p w14:paraId="36622EBC" w14:textId="749AAA82" w:rsidR="00A46721" w:rsidRPr="00A46721" w:rsidRDefault="006916DD" w:rsidP="00A46721">
      <w:pPr>
        <w:spacing w:after="0"/>
        <w:rPr>
          <w:color w:val="009691"/>
        </w:rPr>
      </w:pPr>
      <w:r>
        <w:rPr>
          <w:color w:val="009691"/>
        </w:rPr>
        <w:t>Décision :</w:t>
      </w:r>
    </w:p>
    <w:p w14:paraId="723CA953" w14:textId="2D82A93A" w:rsidR="00091459" w:rsidRDefault="00A46721" w:rsidP="00B42C33">
      <w:pPr>
        <w:spacing w:after="0"/>
      </w:pPr>
      <w:r>
        <w:t xml:space="preserve">Le </w:t>
      </w:r>
      <w:proofErr w:type="spellStart"/>
      <w:r>
        <w:t>CdE</w:t>
      </w:r>
      <w:proofErr w:type="spellEnd"/>
      <w:r>
        <w:t xml:space="preserve"> de la SCL a pris la décision suivante :</w:t>
      </w:r>
    </w:p>
    <w:p w14:paraId="492BB845" w14:textId="5A234345" w:rsidR="00091459" w:rsidRDefault="00091459" w:rsidP="00091459">
      <w:pPr>
        <w:spacing w:after="0"/>
      </w:pPr>
    </w:p>
    <w:p w14:paraId="3CD4F654" w14:textId="77777777" w:rsidR="005971C1" w:rsidRDefault="00090888" w:rsidP="00090888">
      <w:pPr>
        <w:spacing w:after="0"/>
      </w:pPr>
      <w:r>
        <w:t xml:space="preserve">Le </w:t>
      </w:r>
      <w:proofErr w:type="spellStart"/>
      <w:r>
        <w:t>CdE</w:t>
      </w:r>
      <w:proofErr w:type="spellEnd"/>
      <w:r>
        <w:t xml:space="preserve"> approuve la proposition de la Consultation d'harmonisation de renommer les phases 1 et 2.</w:t>
      </w:r>
    </w:p>
    <w:p w14:paraId="46987B4F" w14:textId="77777777" w:rsidR="005971C1" w:rsidRDefault="005971C1" w:rsidP="00090888">
      <w:pPr>
        <w:spacing w:after="0"/>
      </w:pPr>
      <w:r>
        <w:t>La Phase 1 devient : Préparation de l'audit SCL</w:t>
      </w:r>
    </w:p>
    <w:p w14:paraId="733ABEDC" w14:textId="00DD1F70" w:rsidR="00090888" w:rsidRDefault="005971C1" w:rsidP="00090888">
      <w:pPr>
        <w:spacing w:after="0"/>
      </w:pPr>
      <w:r>
        <w:t>La Phase 2 devient : Réalisation de l'audit SCL</w:t>
      </w:r>
    </w:p>
    <w:p w14:paraId="33ED697B" w14:textId="77777777" w:rsidR="00AB739C" w:rsidRDefault="00AB739C" w:rsidP="00205DDA">
      <w:pPr>
        <w:spacing w:after="0"/>
        <w:ind w:left="1134" w:hanging="1134"/>
      </w:pPr>
    </w:p>
    <w:p w14:paraId="7A2C411A" w14:textId="77777777" w:rsidR="00AB739C" w:rsidRDefault="00AB739C" w:rsidP="00205DDA">
      <w:pPr>
        <w:spacing w:after="0"/>
        <w:ind w:left="1134" w:hanging="1134"/>
      </w:pPr>
    </w:p>
    <w:p w14:paraId="0A284A4D" w14:textId="77777777" w:rsidR="00AB739C" w:rsidRDefault="00AB739C" w:rsidP="00205DDA">
      <w:pPr>
        <w:spacing w:after="0"/>
        <w:ind w:left="1134" w:hanging="1134"/>
      </w:pPr>
    </w:p>
    <w:p w14:paraId="77E58B7A" w14:textId="77777777" w:rsidR="00AB739C" w:rsidRDefault="00AB739C" w:rsidP="00205DDA">
      <w:pPr>
        <w:spacing w:after="0"/>
        <w:ind w:left="1134" w:hanging="1134"/>
      </w:pPr>
    </w:p>
    <w:p w14:paraId="66CE3677" w14:textId="77777777" w:rsidR="00AB739C" w:rsidRDefault="00AB739C" w:rsidP="00205DDA">
      <w:pPr>
        <w:spacing w:after="0"/>
        <w:ind w:left="1134" w:hanging="1134"/>
      </w:pPr>
    </w:p>
    <w:p w14:paraId="5B22A9E2" w14:textId="77777777" w:rsidR="00B061A9" w:rsidRDefault="00B061A9" w:rsidP="00091459">
      <w:pPr>
        <w:spacing w:after="0"/>
      </w:pPr>
    </w:p>
    <w:sectPr w:rsidR="00B061A9" w:rsidSect="00047508">
      <w:headerReference w:type="default" r:id="rId7"/>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858A" w14:textId="77777777" w:rsidR="00BA32DE" w:rsidRDefault="00BA32DE" w:rsidP="00CD0A9F">
      <w:pPr>
        <w:spacing w:after="0" w:line="240" w:lineRule="auto"/>
      </w:pPr>
      <w:r>
        <w:separator/>
      </w:r>
    </w:p>
  </w:endnote>
  <w:endnote w:type="continuationSeparator" w:id="0">
    <w:p w14:paraId="23C2F338" w14:textId="77777777" w:rsidR="00BA32DE" w:rsidRDefault="00BA32DE"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EDC4D" w14:textId="77777777" w:rsidR="00BA32DE" w:rsidRDefault="00BA32DE" w:rsidP="00CD0A9F">
      <w:pPr>
        <w:spacing w:after="0" w:line="240" w:lineRule="auto"/>
      </w:pPr>
      <w:r>
        <w:separator/>
      </w:r>
    </w:p>
  </w:footnote>
  <w:footnote w:type="continuationSeparator" w:id="0">
    <w:p w14:paraId="397BB357" w14:textId="77777777" w:rsidR="00BA32DE" w:rsidRDefault="00BA32DE"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0307DFA9" w:rsidR="008D3B63" w:rsidRDefault="00F000DF" w:rsidP="00872908">
    <w:pPr>
      <w:pStyle w:val="Koptekst"/>
      <w:jc w:val="right"/>
    </w:pPr>
    <w:r>
      <w:rPr>
        <w:noProof/>
      </w:rPr>
      <w:drawing>
        <wp:inline distT="0" distB="0" distL="0" distR="0" wp14:anchorId="1C36C89B" wp14:editId="0FB738BA">
          <wp:extent cx="2971800" cy="295275"/>
          <wp:effectExtent l="0" t="0" r="0" b="9525"/>
          <wp:docPr id="1283101496"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schermopname, Graphics, Lettertype, ontwerp&#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295275"/>
                  </a:xfrm>
                  <a:prstGeom prst="rect">
                    <a:avLst/>
                  </a:prstGeom>
                  <a:noFill/>
                  <a:ln>
                    <a:noFill/>
                  </a:ln>
                </pic:spPr>
              </pic:pic>
            </a:graphicData>
          </a:graphic>
        </wp:inline>
      </w:drawing>
    </w:r>
  </w:p>
  <w:p w14:paraId="286C2498" w14:textId="77777777"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35832"/>
    <w:rsid w:val="00040AC6"/>
    <w:rsid w:val="000442B5"/>
    <w:rsid w:val="00047508"/>
    <w:rsid w:val="00056509"/>
    <w:rsid w:val="000671A9"/>
    <w:rsid w:val="000714FD"/>
    <w:rsid w:val="0008716C"/>
    <w:rsid w:val="00090888"/>
    <w:rsid w:val="00091459"/>
    <w:rsid w:val="000A165B"/>
    <w:rsid w:val="000A2487"/>
    <w:rsid w:val="000B7A8E"/>
    <w:rsid w:val="000C4886"/>
    <w:rsid w:val="000D0410"/>
    <w:rsid w:val="000E2459"/>
    <w:rsid w:val="000F4268"/>
    <w:rsid w:val="00105F3A"/>
    <w:rsid w:val="00132DAD"/>
    <w:rsid w:val="00146DA0"/>
    <w:rsid w:val="00153B20"/>
    <w:rsid w:val="00153D65"/>
    <w:rsid w:val="00163232"/>
    <w:rsid w:val="001668FA"/>
    <w:rsid w:val="001839C1"/>
    <w:rsid w:val="00193A5A"/>
    <w:rsid w:val="00196429"/>
    <w:rsid w:val="00197194"/>
    <w:rsid w:val="001B4382"/>
    <w:rsid w:val="001C0B90"/>
    <w:rsid w:val="001C1707"/>
    <w:rsid w:val="001C42FF"/>
    <w:rsid w:val="001C6D89"/>
    <w:rsid w:val="00203334"/>
    <w:rsid w:val="002037F6"/>
    <w:rsid w:val="00205DDA"/>
    <w:rsid w:val="00210AFE"/>
    <w:rsid w:val="00230FC5"/>
    <w:rsid w:val="00251628"/>
    <w:rsid w:val="00256583"/>
    <w:rsid w:val="002635C3"/>
    <w:rsid w:val="0026493F"/>
    <w:rsid w:val="00266EC5"/>
    <w:rsid w:val="00276494"/>
    <w:rsid w:val="00281599"/>
    <w:rsid w:val="00281793"/>
    <w:rsid w:val="00294573"/>
    <w:rsid w:val="00294D88"/>
    <w:rsid w:val="002A58E4"/>
    <w:rsid w:val="002B0093"/>
    <w:rsid w:val="002B074C"/>
    <w:rsid w:val="002B5C4C"/>
    <w:rsid w:val="002C539C"/>
    <w:rsid w:val="002E1D8E"/>
    <w:rsid w:val="002E3E33"/>
    <w:rsid w:val="002F744C"/>
    <w:rsid w:val="0030371F"/>
    <w:rsid w:val="003058C1"/>
    <w:rsid w:val="00313C04"/>
    <w:rsid w:val="00320AC6"/>
    <w:rsid w:val="00325DDF"/>
    <w:rsid w:val="003273BB"/>
    <w:rsid w:val="00330173"/>
    <w:rsid w:val="00335E07"/>
    <w:rsid w:val="003400BB"/>
    <w:rsid w:val="00342B84"/>
    <w:rsid w:val="00347EC1"/>
    <w:rsid w:val="00355A3A"/>
    <w:rsid w:val="00371D6D"/>
    <w:rsid w:val="003829AC"/>
    <w:rsid w:val="00387865"/>
    <w:rsid w:val="003A4134"/>
    <w:rsid w:val="003B21CB"/>
    <w:rsid w:val="003B3173"/>
    <w:rsid w:val="003D18B6"/>
    <w:rsid w:val="003D6B29"/>
    <w:rsid w:val="003E2C3A"/>
    <w:rsid w:val="003E4D5C"/>
    <w:rsid w:val="003E77D5"/>
    <w:rsid w:val="004153F6"/>
    <w:rsid w:val="0043186F"/>
    <w:rsid w:val="00450501"/>
    <w:rsid w:val="00450ED9"/>
    <w:rsid w:val="0045253C"/>
    <w:rsid w:val="00455AE9"/>
    <w:rsid w:val="00460560"/>
    <w:rsid w:val="004647FE"/>
    <w:rsid w:val="00464E07"/>
    <w:rsid w:val="00481540"/>
    <w:rsid w:val="00491530"/>
    <w:rsid w:val="004A23C6"/>
    <w:rsid w:val="004C5A6F"/>
    <w:rsid w:val="004D0CE9"/>
    <w:rsid w:val="004D4A20"/>
    <w:rsid w:val="004E7747"/>
    <w:rsid w:val="004F7A47"/>
    <w:rsid w:val="0051345D"/>
    <w:rsid w:val="0051510C"/>
    <w:rsid w:val="00531408"/>
    <w:rsid w:val="00540069"/>
    <w:rsid w:val="00555285"/>
    <w:rsid w:val="00557E76"/>
    <w:rsid w:val="00563EF2"/>
    <w:rsid w:val="0056763E"/>
    <w:rsid w:val="00567F60"/>
    <w:rsid w:val="00576DD5"/>
    <w:rsid w:val="00585C68"/>
    <w:rsid w:val="00594BB2"/>
    <w:rsid w:val="005971C1"/>
    <w:rsid w:val="005B25A1"/>
    <w:rsid w:val="005C0F0B"/>
    <w:rsid w:val="005D2336"/>
    <w:rsid w:val="005D537D"/>
    <w:rsid w:val="005E44E0"/>
    <w:rsid w:val="005F13D3"/>
    <w:rsid w:val="005F151B"/>
    <w:rsid w:val="005F187A"/>
    <w:rsid w:val="005F572F"/>
    <w:rsid w:val="00602187"/>
    <w:rsid w:val="00606899"/>
    <w:rsid w:val="006112E6"/>
    <w:rsid w:val="00611F3E"/>
    <w:rsid w:val="00617ABE"/>
    <w:rsid w:val="00617DC9"/>
    <w:rsid w:val="0062733D"/>
    <w:rsid w:val="00634873"/>
    <w:rsid w:val="00635016"/>
    <w:rsid w:val="00652FAA"/>
    <w:rsid w:val="0066011A"/>
    <w:rsid w:val="00667F97"/>
    <w:rsid w:val="006766ED"/>
    <w:rsid w:val="006766F6"/>
    <w:rsid w:val="00682791"/>
    <w:rsid w:val="0069011E"/>
    <w:rsid w:val="006916DD"/>
    <w:rsid w:val="00692F59"/>
    <w:rsid w:val="00693692"/>
    <w:rsid w:val="006A1EF8"/>
    <w:rsid w:val="006B5094"/>
    <w:rsid w:val="006C5EEB"/>
    <w:rsid w:val="006D1B63"/>
    <w:rsid w:val="006E2356"/>
    <w:rsid w:val="006E3FF0"/>
    <w:rsid w:val="006E7B1B"/>
    <w:rsid w:val="006F4C4A"/>
    <w:rsid w:val="00711101"/>
    <w:rsid w:val="0072172B"/>
    <w:rsid w:val="00723977"/>
    <w:rsid w:val="00741BFC"/>
    <w:rsid w:val="00757752"/>
    <w:rsid w:val="0077175F"/>
    <w:rsid w:val="00783320"/>
    <w:rsid w:val="007A3966"/>
    <w:rsid w:val="007B6F2E"/>
    <w:rsid w:val="007D49A1"/>
    <w:rsid w:val="007E22DA"/>
    <w:rsid w:val="007E3358"/>
    <w:rsid w:val="007F23D8"/>
    <w:rsid w:val="007F4010"/>
    <w:rsid w:val="007F647D"/>
    <w:rsid w:val="00845366"/>
    <w:rsid w:val="00851EA1"/>
    <w:rsid w:val="00853C6E"/>
    <w:rsid w:val="008541D3"/>
    <w:rsid w:val="0085729C"/>
    <w:rsid w:val="008632B2"/>
    <w:rsid w:val="00870EFC"/>
    <w:rsid w:val="00872908"/>
    <w:rsid w:val="00884008"/>
    <w:rsid w:val="00893EF4"/>
    <w:rsid w:val="008A3374"/>
    <w:rsid w:val="008A5EC3"/>
    <w:rsid w:val="008D1DDB"/>
    <w:rsid w:val="008D381B"/>
    <w:rsid w:val="008D3B63"/>
    <w:rsid w:val="008D4EAE"/>
    <w:rsid w:val="008E125A"/>
    <w:rsid w:val="008E4A2C"/>
    <w:rsid w:val="008E5725"/>
    <w:rsid w:val="009118F0"/>
    <w:rsid w:val="00913165"/>
    <w:rsid w:val="0091626E"/>
    <w:rsid w:val="00917A91"/>
    <w:rsid w:val="009245B1"/>
    <w:rsid w:val="009250DD"/>
    <w:rsid w:val="00932779"/>
    <w:rsid w:val="009458BF"/>
    <w:rsid w:val="00960B52"/>
    <w:rsid w:val="00961B26"/>
    <w:rsid w:val="009776B9"/>
    <w:rsid w:val="00982652"/>
    <w:rsid w:val="00983CC3"/>
    <w:rsid w:val="009B020E"/>
    <w:rsid w:val="009C270F"/>
    <w:rsid w:val="009C48A1"/>
    <w:rsid w:val="009F0A8B"/>
    <w:rsid w:val="00A06064"/>
    <w:rsid w:val="00A07702"/>
    <w:rsid w:val="00A15DE6"/>
    <w:rsid w:val="00A20E49"/>
    <w:rsid w:val="00A212F8"/>
    <w:rsid w:val="00A347A6"/>
    <w:rsid w:val="00A43260"/>
    <w:rsid w:val="00A46721"/>
    <w:rsid w:val="00A57E4B"/>
    <w:rsid w:val="00A811C2"/>
    <w:rsid w:val="00A858AC"/>
    <w:rsid w:val="00A92607"/>
    <w:rsid w:val="00A94629"/>
    <w:rsid w:val="00A94F0C"/>
    <w:rsid w:val="00AA7AD9"/>
    <w:rsid w:val="00AB167B"/>
    <w:rsid w:val="00AB1B2F"/>
    <w:rsid w:val="00AB6337"/>
    <w:rsid w:val="00AB739C"/>
    <w:rsid w:val="00AC0CB9"/>
    <w:rsid w:val="00AC2118"/>
    <w:rsid w:val="00AD6680"/>
    <w:rsid w:val="00AF2A05"/>
    <w:rsid w:val="00B0435D"/>
    <w:rsid w:val="00B061A9"/>
    <w:rsid w:val="00B11739"/>
    <w:rsid w:val="00B14D40"/>
    <w:rsid w:val="00B151B0"/>
    <w:rsid w:val="00B22857"/>
    <w:rsid w:val="00B25961"/>
    <w:rsid w:val="00B25DB8"/>
    <w:rsid w:val="00B30031"/>
    <w:rsid w:val="00B3518B"/>
    <w:rsid w:val="00B42C33"/>
    <w:rsid w:val="00B55E69"/>
    <w:rsid w:val="00B76C98"/>
    <w:rsid w:val="00BA32DE"/>
    <w:rsid w:val="00BB58E0"/>
    <w:rsid w:val="00BC3040"/>
    <w:rsid w:val="00BC3AE7"/>
    <w:rsid w:val="00BE0710"/>
    <w:rsid w:val="00BE2CEB"/>
    <w:rsid w:val="00BE3F53"/>
    <w:rsid w:val="00BE6BAE"/>
    <w:rsid w:val="00BF14B8"/>
    <w:rsid w:val="00C01635"/>
    <w:rsid w:val="00C0639E"/>
    <w:rsid w:val="00C06AEB"/>
    <w:rsid w:val="00C12347"/>
    <w:rsid w:val="00C2018C"/>
    <w:rsid w:val="00C32B81"/>
    <w:rsid w:val="00C356BE"/>
    <w:rsid w:val="00C41C7D"/>
    <w:rsid w:val="00C535BF"/>
    <w:rsid w:val="00C570AF"/>
    <w:rsid w:val="00C61C0E"/>
    <w:rsid w:val="00C62B99"/>
    <w:rsid w:val="00C82F7D"/>
    <w:rsid w:val="00C91F12"/>
    <w:rsid w:val="00C96F81"/>
    <w:rsid w:val="00CC2C8C"/>
    <w:rsid w:val="00CC49B0"/>
    <w:rsid w:val="00CD0A9F"/>
    <w:rsid w:val="00CD2A67"/>
    <w:rsid w:val="00CD7066"/>
    <w:rsid w:val="00CE09F4"/>
    <w:rsid w:val="00CE7A1C"/>
    <w:rsid w:val="00CF49B0"/>
    <w:rsid w:val="00D02503"/>
    <w:rsid w:val="00D216A6"/>
    <w:rsid w:val="00D31882"/>
    <w:rsid w:val="00D35519"/>
    <w:rsid w:val="00D44F58"/>
    <w:rsid w:val="00D466DE"/>
    <w:rsid w:val="00D46FF8"/>
    <w:rsid w:val="00D5378C"/>
    <w:rsid w:val="00D53928"/>
    <w:rsid w:val="00D77AF9"/>
    <w:rsid w:val="00D817F4"/>
    <w:rsid w:val="00D94BE8"/>
    <w:rsid w:val="00DD2110"/>
    <w:rsid w:val="00DE3A9A"/>
    <w:rsid w:val="00DF41B2"/>
    <w:rsid w:val="00E00DBB"/>
    <w:rsid w:val="00E203A8"/>
    <w:rsid w:val="00E27A2F"/>
    <w:rsid w:val="00E315A1"/>
    <w:rsid w:val="00E43700"/>
    <w:rsid w:val="00E43FF6"/>
    <w:rsid w:val="00E45310"/>
    <w:rsid w:val="00E506D9"/>
    <w:rsid w:val="00E65B45"/>
    <w:rsid w:val="00E66F92"/>
    <w:rsid w:val="00E73D0B"/>
    <w:rsid w:val="00E8012F"/>
    <w:rsid w:val="00E944FE"/>
    <w:rsid w:val="00EA25CA"/>
    <w:rsid w:val="00EB33E4"/>
    <w:rsid w:val="00EB489A"/>
    <w:rsid w:val="00EB7BEF"/>
    <w:rsid w:val="00EC1701"/>
    <w:rsid w:val="00EC6E1E"/>
    <w:rsid w:val="00ED3FCA"/>
    <w:rsid w:val="00ED689B"/>
    <w:rsid w:val="00EE21BA"/>
    <w:rsid w:val="00EF2143"/>
    <w:rsid w:val="00EF4097"/>
    <w:rsid w:val="00F000DF"/>
    <w:rsid w:val="00F020E6"/>
    <w:rsid w:val="00F128F5"/>
    <w:rsid w:val="00F16352"/>
    <w:rsid w:val="00F250BF"/>
    <w:rsid w:val="00F30F9B"/>
    <w:rsid w:val="00F32982"/>
    <w:rsid w:val="00F4329B"/>
    <w:rsid w:val="00F44243"/>
    <w:rsid w:val="00F4450F"/>
    <w:rsid w:val="00F455A3"/>
    <w:rsid w:val="00F4796B"/>
    <w:rsid w:val="00F52DE9"/>
    <w:rsid w:val="00F53CC6"/>
    <w:rsid w:val="00F64814"/>
    <w:rsid w:val="00F64EB5"/>
    <w:rsid w:val="00F721ED"/>
    <w:rsid w:val="00F86299"/>
    <w:rsid w:val="00F876EC"/>
    <w:rsid w:val="00FA3118"/>
    <w:rsid w:val="00FA6B79"/>
    <w:rsid w:val="00FB4035"/>
    <w:rsid w:val="00FB4C5D"/>
    <w:rsid w:val="00FD448E"/>
    <w:rsid w:val="00FE212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E54A9D-D0BD-4860-B0CD-59214CA13F2E}"/>
</file>

<file path=customXml/itemProps2.xml><?xml version="1.0" encoding="utf-8"?>
<ds:datastoreItem xmlns:ds="http://schemas.openxmlformats.org/officeDocument/2006/customXml" ds:itemID="{ACE48EE7-8BBC-4D05-B82A-BFBBE2E8F66A}"/>
</file>

<file path=customXml/itemProps3.xml><?xml version="1.0" encoding="utf-8"?>
<ds:datastoreItem xmlns:ds="http://schemas.openxmlformats.org/officeDocument/2006/customXml" ds:itemID="{45EC9A0B-72DE-460A-B879-321CE146BCF7}"/>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1414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2025-02-03T15:29:00Z</dcterms:created>
  <dcterms:modified xsi:type="dcterms:W3CDTF">2025-02-03T15:29:00Z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ies>
</file>